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65A3" w14:textId="65222B74" w:rsidR="00F43530" w:rsidRDefault="00034FA4" w:rsidP="0067635C">
      <w:pPr>
        <w:shd w:val="clear" w:color="auto" w:fill="F8F9FA"/>
        <w:spacing w:after="100" w:afterAutospacing="1" w:line="240" w:lineRule="auto"/>
        <w:rPr>
          <w:rFonts w:ascii="Segoe UI" w:eastAsia="Times New Roman" w:hAnsi="Segoe UI" w:cs="Segoe UI"/>
          <w:color w:val="1D2125"/>
          <w:sz w:val="23"/>
          <w:szCs w:val="23"/>
          <w:lang w:val="en-US" w:eastAsia="lt-LT"/>
        </w:rPr>
      </w:pPr>
      <w:hyperlink r:id="rId5" w:history="1">
        <w:r w:rsidR="00F43530" w:rsidRPr="00A1439E">
          <w:rPr>
            <w:rStyle w:val="Hyperlink"/>
            <w:rFonts w:ascii="Segoe UI" w:eastAsia="Times New Roman" w:hAnsi="Segoe UI" w:cs="Segoe UI"/>
            <w:sz w:val="23"/>
            <w:szCs w:val="23"/>
            <w:lang w:val="en-US" w:eastAsia="lt-LT"/>
          </w:rPr>
          <w:t>https://e-seimas.lrs.lt/portal/legalAct/lt/TAD/TAIS.154657/asr</w:t>
        </w:r>
      </w:hyperlink>
    </w:p>
    <w:p w14:paraId="60EE326E" w14:textId="1074569E" w:rsidR="00F43530" w:rsidRDefault="00034FA4" w:rsidP="0067635C">
      <w:pPr>
        <w:shd w:val="clear" w:color="auto" w:fill="F8F9FA"/>
        <w:spacing w:after="100" w:afterAutospacing="1" w:line="240" w:lineRule="auto"/>
        <w:rPr>
          <w:rFonts w:ascii="Segoe UI" w:eastAsia="Times New Roman" w:hAnsi="Segoe UI" w:cs="Segoe UI"/>
          <w:color w:val="1D2125"/>
          <w:sz w:val="23"/>
          <w:szCs w:val="23"/>
          <w:lang w:val="en-US" w:eastAsia="lt-LT"/>
        </w:rPr>
      </w:pPr>
      <w:hyperlink r:id="rId6" w:history="1">
        <w:r w:rsidR="00F43530" w:rsidRPr="00A1439E">
          <w:rPr>
            <w:rStyle w:val="Hyperlink"/>
            <w:rFonts w:ascii="Segoe UI" w:eastAsia="Times New Roman" w:hAnsi="Segoe UI" w:cs="Segoe UI"/>
            <w:sz w:val="23"/>
            <w:szCs w:val="23"/>
            <w:lang w:val="en-US" w:eastAsia="lt-LT"/>
          </w:rPr>
          <w:t>https://e-seimas.lrs.lt/portal/legalAct/lt/TAD/dbe23950488011e89197e1115e5dbece</w:t>
        </w:r>
      </w:hyperlink>
    </w:p>
    <w:p w14:paraId="6C20F453" w14:textId="77777777" w:rsidR="00F43530" w:rsidRDefault="00F43530" w:rsidP="0067635C">
      <w:pPr>
        <w:shd w:val="clear" w:color="auto" w:fill="F8F9FA"/>
        <w:spacing w:after="100" w:afterAutospacing="1" w:line="240" w:lineRule="auto"/>
        <w:rPr>
          <w:rFonts w:ascii="Segoe UI" w:eastAsia="Times New Roman" w:hAnsi="Segoe UI" w:cs="Segoe UI"/>
          <w:color w:val="1D2125"/>
          <w:sz w:val="23"/>
          <w:szCs w:val="23"/>
          <w:lang w:val="en-US" w:eastAsia="lt-LT"/>
        </w:rPr>
      </w:pPr>
    </w:p>
    <w:p w14:paraId="3A20B3E3" w14:textId="5EBC34A7" w:rsidR="00F43530" w:rsidRPr="00034FA4" w:rsidRDefault="00034FA4" w:rsidP="00034FA4">
      <w:pPr>
        <w:shd w:val="clear" w:color="auto" w:fill="F8F9FA"/>
        <w:spacing w:after="100" w:afterAutospacing="1" w:line="240" w:lineRule="auto"/>
        <w:jc w:val="center"/>
        <w:rPr>
          <w:rFonts w:ascii="Times New Roman" w:eastAsia="Times New Roman" w:hAnsi="Times New Roman" w:cs="Times New Roman"/>
          <w:color w:val="1D2125"/>
          <w:sz w:val="28"/>
          <w:szCs w:val="28"/>
          <w:lang w:eastAsia="lt-LT"/>
        </w:rPr>
      </w:pPr>
      <w:r w:rsidRPr="00034FA4">
        <w:rPr>
          <w:rFonts w:ascii="Times New Roman" w:eastAsia="Times New Roman" w:hAnsi="Times New Roman" w:cs="Times New Roman"/>
          <w:color w:val="1D2125"/>
          <w:sz w:val="28"/>
          <w:szCs w:val="28"/>
          <w:lang w:eastAsia="lt-LT"/>
        </w:rPr>
        <w:t xml:space="preserve">UŽDUOTIS </w:t>
      </w:r>
      <w:bookmarkStart w:id="0" w:name="_GoBack"/>
      <w:bookmarkEnd w:id="0"/>
    </w:p>
    <w:p w14:paraId="49B49783" w14:textId="3199879C" w:rsidR="0067635C" w:rsidRPr="00F43530" w:rsidRDefault="0067635C" w:rsidP="0067635C">
      <w:pPr>
        <w:shd w:val="clear" w:color="auto" w:fill="F8F9FA"/>
        <w:spacing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xml:space="preserve">Remdamiesi </w:t>
      </w:r>
      <w:r w:rsidR="00F43530">
        <w:rPr>
          <w:rFonts w:ascii="Segoe UI" w:eastAsia="Times New Roman" w:hAnsi="Segoe UI" w:cs="Segoe UI"/>
          <w:color w:val="1D2125"/>
          <w:sz w:val="23"/>
          <w:szCs w:val="23"/>
          <w:lang w:eastAsia="lt-LT"/>
        </w:rPr>
        <w:t>finansinės apskaitos įstatymu</w:t>
      </w:r>
      <w:r w:rsidRPr="00F43530">
        <w:rPr>
          <w:rFonts w:ascii="Segoe UI" w:eastAsia="Times New Roman" w:hAnsi="Segoe UI" w:cs="Segoe UI"/>
          <w:color w:val="1D2125"/>
          <w:sz w:val="23"/>
          <w:szCs w:val="23"/>
          <w:lang w:eastAsia="lt-LT"/>
        </w:rPr>
        <w:t>,</w:t>
      </w:r>
      <w:r w:rsidR="00F43530">
        <w:rPr>
          <w:rFonts w:ascii="Segoe UI" w:eastAsia="Times New Roman" w:hAnsi="Segoe UI" w:cs="Segoe UI"/>
          <w:color w:val="1D2125"/>
          <w:sz w:val="23"/>
          <w:szCs w:val="23"/>
          <w:lang w:eastAsia="lt-LT"/>
        </w:rPr>
        <w:t xml:space="preserve"> LR elektroninių pinigų įstaigų įstatymu,</w:t>
      </w:r>
      <w:r w:rsidRPr="00F43530">
        <w:rPr>
          <w:rFonts w:ascii="Segoe UI" w:eastAsia="Times New Roman" w:hAnsi="Segoe UI" w:cs="Segoe UI"/>
          <w:color w:val="1D2125"/>
          <w:sz w:val="23"/>
          <w:szCs w:val="23"/>
          <w:lang w:eastAsia="lt-LT"/>
        </w:rPr>
        <w:t xml:space="preserve"> užpildykite lentelę:</w:t>
      </w:r>
    </w:p>
    <w:tbl>
      <w:tblPr>
        <w:tblW w:w="0" w:type="auto"/>
        <w:tblBorders>
          <w:top w:val="outset" w:sz="6" w:space="0" w:color="auto"/>
          <w:left w:val="outset" w:sz="6" w:space="0" w:color="auto"/>
          <w:bottom w:val="outset" w:sz="6" w:space="0" w:color="auto"/>
          <w:right w:val="outset" w:sz="6" w:space="0" w:color="auto"/>
        </w:tblBorders>
        <w:shd w:val="clear" w:color="auto" w:fill="F8F9FA"/>
        <w:tblCellMar>
          <w:left w:w="0" w:type="dxa"/>
          <w:right w:w="0" w:type="dxa"/>
        </w:tblCellMar>
        <w:tblLook w:val="04A0" w:firstRow="1" w:lastRow="0" w:firstColumn="1" w:lastColumn="0" w:noHBand="0" w:noVBand="1"/>
      </w:tblPr>
      <w:tblGrid>
        <w:gridCol w:w="5304"/>
        <w:gridCol w:w="2352"/>
      </w:tblGrid>
      <w:tr w:rsidR="0067635C" w:rsidRPr="00F43530" w14:paraId="3E985CF1"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0254E6A"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i/>
                <w:iCs/>
                <w:color w:val="1D2125"/>
                <w:sz w:val="23"/>
                <w:szCs w:val="23"/>
                <w:lang w:eastAsia="lt-LT"/>
              </w:rPr>
              <w:t>Ištrauka iš įstatymo</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223DF979"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i/>
                <w:iCs/>
                <w:color w:val="1D2125"/>
                <w:sz w:val="23"/>
                <w:szCs w:val="23"/>
                <w:lang w:eastAsia="lt-LT"/>
              </w:rPr>
              <w:t>Įrašykite praleistą žodį</w:t>
            </w:r>
          </w:p>
        </w:tc>
      </w:tr>
      <w:tr w:rsidR="0067635C" w:rsidRPr="00F43530" w14:paraId="456BC9DA"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7632560D"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1.Paaiškinkite sąvoką “</w:t>
            </w:r>
            <w:hyperlink r:id="rId7" w:tooltip="Didžioji knyga" w:history="1">
              <w:r w:rsidRPr="00F43530">
                <w:rPr>
                  <w:rFonts w:ascii="Segoe UI" w:eastAsia="Times New Roman" w:hAnsi="Segoe UI" w:cs="Segoe UI"/>
                  <w:b/>
                  <w:bCs/>
                  <w:color w:val="FF8239"/>
                  <w:sz w:val="23"/>
                  <w:szCs w:val="23"/>
                  <w:u w:val="single"/>
                  <w:lang w:eastAsia="lt-LT"/>
                </w:rPr>
                <w:t>didžioji knyga</w:t>
              </w:r>
            </w:hyperlink>
            <w:r w:rsidRPr="00F43530">
              <w:rPr>
                <w:rFonts w:ascii="Segoe UI" w:eastAsia="Times New Roman" w:hAnsi="Segoe UI" w:cs="Segoe UI"/>
                <w:color w:val="1D2125"/>
                <w:sz w:val="23"/>
                <w:szCs w:val="23"/>
                <w:lang w:eastAsia="lt-LT"/>
              </w:rPr>
              <w:t>”.</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041C1C06"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65DCE33C"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532B8876" w14:textId="77777777" w:rsidR="0067635C" w:rsidRPr="00F43530" w:rsidRDefault="0067635C" w:rsidP="0067635C">
            <w:pPr>
              <w:numPr>
                <w:ilvl w:val="0"/>
                <w:numId w:val="1"/>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Paaiškinkite sąvoką “</w:t>
            </w:r>
            <w:r w:rsidRPr="00F43530">
              <w:rPr>
                <w:rFonts w:ascii="Segoe UI" w:eastAsia="Times New Roman" w:hAnsi="Segoe UI" w:cs="Segoe UI"/>
                <w:b/>
                <w:bCs/>
                <w:color w:val="1D2125"/>
                <w:sz w:val="23"/>
                <w:szCs w:val="23"/>
                <w:lang w:eastAsia="lt-LT"/>
              </w:rPr>
              <w:t>finansinė apskaita</w:t>
            </w:r>
            <w:r w:rsidRPr="00F43530">
              <w:rPr>
                <w:rFonts w:ascii="Segoe UI" w:eastAsia="Times New Roman" w:hAnsi="Segoe UI" w:cs="Segoe UI"/>
                <w:color w:val="1D2125"/>
                <w:sz w:val="23"/>
                <w:szCs w:val="23"/>
                <w:lang w:eastAsia="lt-LT"/>
              </w:rPr>
              <w:t>”.</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481EEFA8"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00C3DE4E"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66066184" w14:textId="77777777" w:rsidR="0067635C" w:rsidRPr="00F43530" w:rsidRDefault="0067635C" w:rsidP="0067635C">
            <w:pPr>
              <w:numPr>
                <w:ilvl w:val="0"/>
                <w:numId w:val="2"/>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Įstatyme įvardinti du registrai, kuriuos </w:t>
            </w:r>
            <w:r w:rsidRPr="00F43530">
              <w:rPr>
                <w:rFonts w:ascii="Segoe UI" w:eastAsia="Times New Roman" w:hAnsi="Segoe UI" w:cs="Segoe UI"/>
                <w:b/>
                <w:bCs/>
                <w:color w:val="1D2125"/>
                <w:sz w:val="23"/>
                <w:szCs w:val="23"/>
                <w:lang w:eastAsia="lt-LT"/>
              </w:rPr>
              <w:t>subjektas privalės sudaryti</w:t>
            </w:r>
            <w:r w:rsidRPr="00F43530">
              <w:rPr>
                <w:rFonts w:ascii="Segoe UI" w:eastAsia="Times New Roman" w:hAnsi="Segoe UI" w:cs="Segoe UI"/>
                <w:color w:val="1D2125"/>
                <w:sz w:val="23"/>
                <w:szCs w:val="23"/>
                <w:lang w:eastAsia="lt-LT"/>
              </w:rPr>
              <w:t>. Įvardinkite juos.</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1DD7F44D"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0D665DF3"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75340FE1" w14:textId="77777777" w:rsidR="0067635C" w:rsidRPr="00F43530" w:rsidRDefault="0067635C" w:rsidP="0067635C">
            <w:pPr>
              <w:numPr>
                <w:ilvl w:val="0"/>
                <w:numId w:val="3"/>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Ar įstatyme įtvirtinama laikytis </w:t>
            </w:r>
            <w:r w:rsidRPr="00F43530">
              <w:rPr>
                <w:rFonts w:ascii="Segoe UI" w:eastAsia="Times New Roman" w:hAnsi="Segoe UI" w:cs="Segoe UI"/>
                <w:b/>
                <w:bCs/>
                <w:color w:val="1D2125"/>
                <w:sz w:val="23"/>
                <w:szCs w:val="23"/>
                <w:lang w:eastAsia="lt-LT"/>
              </w:rPr>
              <w:t>privalomos</w:t>
            </w:r>
            <w:r w:rsidRPr="00F43530">
              <w:rPr>
                <w:rFonts w:ascii="Segoe UI" w:eastAsia="Times New Roman" w:hAnsi="Segoe UI" w:cs="Segoe UI"/>
                <w:color w:val="1D2125"/>
                <w:sz w:val="23"/>
                <w:szCs w:val="23"/>
                <w:lang w:eastAsia="lt-LT"/>
              </w:rPr>
              <w:t> kasos darbo organizavimo ir kitų tvarkų?</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695217C2"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78AD856A"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2B2ED90B" w14:textId="77777777" w:rsidR="0067635C" w:rsidRPr="00F43530" w:rsidRDefault="0067635C" w:rsidP="0067635C">
            <w:pPr>
              <w:numPr>
                <w:ilvl w:val="0"/>
                <w:numId w:val="4"/>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color w:val="1D2125"/>
                <w:sz w:val="23"/>
                <w:szCs w:val="23"/>
                <w:lang w:eastAsia="lt-LT"/>
              </w:rPr>
              <w:t>Kieno </w:t>
            </w:r>
            <w:r w:rsidRPr="00F43530">
              <w:rPr>
                <w:rFonts w:ascii="Segoe UI" w:eastAsia="Times New Roman" w:hAnsi="Segoe UI" w:cs="Segoe UI"/>
                <w:color w:val="1D2125"/>
                <w:sz w:val="23"/>
                <w:szCs w:val="23"/>
                <w:lang w:eastAsia="lt-LT"/>
              </w:rPr>
              <w:t>pareigas apibūdina įstatymas? Pareigos, kurios apima: </w:t>
            </w:r>
            <w:r w:rsidRPr="00F43530">
              <w:rPr>
                <w:rFonts w:ascii="Segoe UI" w:eastAsia="Times New Roman" w:hAnsi="Segoe UI" w:cs="Segoe UI"/>
                <w:i/>
                <w:iCs/>
                <w:color w:val="1D2125"/>
                <w:sz w:val="23"/>
                <w:szCs w:val="23"/>
                <w:lang w:eastAsia="lt-LT"/>
              </w:rPr>
              <w:t>apskaitą tvarkančio asmens parinkimą</w:t>
            </w:r>
            <w:r w:rsidRPr="00F43530">
              <w:rPr>
                <w:rFonts w:ascii="Segoe UI" w:eastAsia="Times New Roman" w:hAnsi="Segoe UI" w:cs="Segoe UI"/>
                <w:color w:val="1D2125"/>
                <w:sz w:val="23"/>
                <w:szCs w:val="23"/>
                <w:lang w:eastAsia="lt-LT"/>
              </w:rPr>
              <w:t> (nebelieka draudimo apskaitą tvarkyti pačiam subjekto vadovui); užtikrinti, kad apskaitą tvarkančiam asmeniui būtų </w:t>
            </w:r>
            <w:r w:rsidRPr="00F43530">
              <w:rPr>
                <w:rFonts w:ascii="Segoe UI" w:eastAsia="Times New Roman" w:hAnsi="Segoe UI" w:cs="Segoe UI"/>
                <w:i/>
                <w:iCs/>
                <w:color w:val="1D2125"/>
                <w:sz w:val="23"/>
                <w:szCs w:val="23"/>
                <w:lang w:eastAsia="lt-LT"/>
              </w:rPr>
              <w:t>laiku pateikta teisinga, tiksli, išsami informacija</w:t>
            </w:r>
            <w:r w:rsidRPr="00F43530">
              <w:rPr>
                <w:rFonts w:ascii="Segoe UI" w:eastAsia="Times New Roman" w:hAnsi="Segoe UI" w:cs="Segoe UI"/>
                <w:color w:val="1D2125"/>
                <w:sz w:val="23"/>
                <w:szCs w:val="23"/>
                <w:lang w:eastAsia="lt-LT"/>
              </w:rPr>
              <w:t>; nustatyti </w:t>
            </w:r>
            <w:r w:rsidRPr="00F43530">
              <w:rPr>
                <w:rFonts w:ascii="Segoe UI" w:eastAsia="Times New Roman" w:hAnsi="Segoe UI" w:cs="Segoe UI"/>
                <w:i/>
                <w:iCs/>
                <w:color w:val="1D2125"/>
                <w:sz w:val="23"/>
                <w:szCs w:val="23"/>
                <w:lang w:eastAsia="lt-LT"/>
              </w:rPr>
              <w:t>ūkinių operacijų registravimo ir vertinimo tvarką</w:t>
            </w:r>
            <w:r w:rsidRPr="00F43530">
              <w:rPr>
                <w:rFonts w:ascii="Segoe UI" w:eastAsia="Times New Roman" w:hAnsi="Segoe UI" w:cs="Segoe UI"/>
                <w:color w:val="1D2125"/>
                <w:sz w:val="23"/>
                <w:szCs w:val="23"/>
                <w:lang w:eastAsia="lt-LT"/>
              </w:rPr>
              <w:t> (savo esme atitinka įmonių turimą apskaitos politiką); nustatyti </w:t>
            </w:r>
            <w:r w:rsidRPr="00F43530">
              <w:rPr>
                <w:rFonts w:ascii="Segoe UI" w:eastAsia="Times New Roman" w:hAnsi="Segoe UI" w:cs="Segoe UI"/>
                <w:i/>
                <w:iCs/>
                <w:color w:val="1D2125"/>
                <w:sz w:val="23"/>
                <w:szCs w:val="23"/>
                <w:lang w:eastAsia="lt-LT"/>
              </w:rPr>
              <w:t>vidaus kontrolės priemones</w:t>
            </w:r>
            <w:r w:rsidRPr="00F43530">
              <w:rPr>
                <w:rFonts w:ascii="Segoe UI" w:eastAsia="Times New Roman" w:hAnsi="Segoe UI" w:cs="Segoe UI"/>
                <w:color w:val="1D2125"/>
                <w:sz w:val="23"/>
                <w:szCs w:val="23"/>
                <w:lang w:eastAsia="lt-LT"/>
              </w:rPr>
              <w:t>; užtikrinti, kad, keičiantis apskaitą tvarkančiam asmeniui arba subjekto vadovui, apskaitai tvarkyti reikalinga informacija būtų laiku perduota kitam apskaitą tvarkančiam asmeniui arba subjekto vadovui; užtikrinti galimybę apskaitos duomenis teikti į valstybės informacinę sistemą (i.MAS) </w:t>
            </w:r>
            <w:r w:rsidRPr="00F43530">
              <w:rPr>
                <w:rFonts w:ascii="Segoe UI" w:eastAsia="Times New Roman" w:hAnsi="Segoe UI" w:cs="Segoe UI"/>
                <w:i/>
                <w:iCs/>
                <w:color w:val="1D2125"/>
                <w:sz w:val="23"/>
                <w:szCs w:val="23"/>
                <w:lang w:eastAsia="lt-LT"/>
              </w:rPr>
              <w:t>standartinėje apskaitos duomenų rinkmenoje</w:t>
            </w:r>
            <w:r w:rsidRPr="00F43530">
              <w:rPr>
                <w:rFonts w:ascii="Segoe UI" w:eastAsia="Times New Roman" w:hAnsi="Segoe UI" w:cs="Segoe UI"/>
                <w:color w:val="1D2125"/>
                <w:sz w:val="23"/>
                <w:szCs w:val="23"/>
                <w:lang w:eastAsia="lt-LT"/>
              </w:rPr>
              <w:t xml:space="preserve">; užtikrinti finansinės informacijos teikimą vidaus ir išorės informacijos </w:t>
            </w:r>
            <w:r w:rsidRPr="00F43530">
              <w:rPr>
                <w:rFonts w:ascii="Segoe UI" w:eastAsia="Times New Roman" w:hAnsi="Segoe UI" w:cs="Segoe UI"/>
                <w:color w:val="1D2125"/>
                <w:sz w:val="23"/>
                <w:szCs w:val="23"/>
                <w:lang w:eastAsia="lt-LT"/>
              </w:rPr>
              <w:lastRenderedPageBreak/>
              <w:t>vartotojams, teisės aktų nustatyta tvarka turintiems teisę ją gauti.</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3F494374"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lastRenderedPageBreak/>
              <w:t> </w:t>
            </w:r>
          </w:p>
        </w:tc>
      </w:tr>
      <w:tr w:rsidR="0067635C" w:rsidRPr="00F43530" w14:paraId="60545DAC"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3E43044"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lastRenderedPageBreak/>
              <w:t>6.      </w:t>
            </w:r>
            <w:r w:rsidRPr="00F43530">
              <w:rPr>
                <w:rFonts w:ascii="Segoe UI" w:eastAsia="Times New Roman" w:hAnsi="Segoe UI" w:cs="Segoe UI"/>
                <w:b/>
                <w:bCs/>
                <w:color w:val="1D2125"/>
                <w:sz w:val="23"/>
                <w:szCs w:val="23"/>
                <w:lang w:eastAsia="lt-LT"/>
              </w:rPr>
              <w:t>Kada</w:t>
            </w:r>
            <w:r w:rsidRPr="00F43530">
              <w:rPr>
                <w:rFonts w:ascii="Segoe UI" w:eastAsia="Times New Roman" w:hAnsi="Segoe UI" w:cs="Segoe UI"/>
                <w:color w:val="1D2125"/>
                <w:sz w:val="23"/>
                <w:szCs w:val="23"/>
                <w:lang w:eastAsia="lt-LT"/>
              </w:rPr>
              <w:t> turi būti užregistruojamos ūkinės operacijos?</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541C64D0"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3759B0D3"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1F9A6EB8" w14:textId="77777777" w:rsidR="0067635C" w:rsidRPr="00F43530" w:rsidRDefault="0067635C" w:rsidP="0067635C">
            <w:pPr>
              <w:spacing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p w14:paraId="02965D84"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7.      Įvardinkite apskaitos dokumentų pateikimo klientui </w:t>
            </w:r>
            <w:r w:rsidRPr="00F43530">
              <w:rPr>
                <w:rFonts w:ascii="Segoe UI" w:eastAsia="Times New Roman" w:hAnsi="Segoe UI" w:cs="Segoe UI"/>
                <w:b/>
                <w:bCs/>
                <w:color w:val="1D2125"/>
                <w:sz w:val="23"/>
                <w:szCs w:val="23"/>
                <w:lang w:eastAsia="lt-LT"/>
              </w:rPr>
              <w:t>terminą.</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5D8E4E2B"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1D883EEE"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06E15A09" w14:textId="77777777" w:rsidR="0067635C" w:rsidRPr="00F43530" w:rsidRDefault="0067635C" w:rsidP="0067635C">
            <w:pPr>
              <w:numPr>
                <w:ilvl w:val="0"/>
                <w:numId w:val="5"/>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color w:val="1D2125"/>
                <w:sz w:val="23"/>
                <w:szCs w:val="23"/>
                <w:lang w:eastAsia="lt-LT"/>
              </w:rPr>
              <w:t>Kas</w:t>
            </w:r>
            <w:r w:rsidRPr="00F43530">
              <w:rPr>
                <w:rFonts w:ascii="Segoe UI" w:eastAsia="Times New Roman" w:hAnsi="Segoe UI" w:cs="Segoe UI"/>
                <w:color w:val="1D2125"/>
                <w:sz w:val="23"/>
                <w:szCs w:val="23"/>
                <w:lang w:eastAsia="lt-LT"/>
              </w:rPr>
              <w:t> turi būti pateikiama, siekiant skatinti sudaryti elektroninius apskaitos dokumentus?</w:t>
            </w:r>
          </w:p>
          <w:p w14:paraId="0E47B469"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6FE0C8E7"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532793C9"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0EE2F16D" w14:textId="77777777" w:rsidR="0067635C" w:rsidRPr="00F43530" w:rsidRDefault="0067635C" w:rsidP="0067635C">
            <w:pPr>
              <w:numPr>
                <w:ilvl w:val="0"/>
                <w:numId w:val="6"/>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color w:val="1D2125"/>
                <w:sz w:val="23"/>
                <w:szCs w:val="23"/>
                <w:lang w:eastAsia="lt-LT"/>
              </w:rPr>
              <w:t>Kada</w:t>
            </w:r>
            <w:r w:rsidRPr="00F43530">
              <w:rPr>
                <w:rFonts w:ascii="Segoe UI" w:eastAsia="Times New Roman" w:hAnsi="Segoe UI" w:cs="Segoe UI"/>
                <w:color w:val="1D2125"/>
                <w:sz w:val="23"/>
                <w:szCs w:val="23"/>
                <w:lang w:eastAsia="lt-LT"/>
              </w:rPr>
              <w:t> elektroniniai apskaitos dokumentai jų gavėjams teikiami elektroninį apskaitos dokumentą parengusio subjekto pasirinktomis priemonėmis?</w:t>
            </w:r>
          </w:p>
          <w:p w14:paraId="3354A895"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51D428A1"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2F75667D"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05D640E" w14:textId="77777777" w:rsidR="0067635C" w:rsidRPr="00F43530" w:rsidRDefault="0067635C" w:rsidP="0067635C">
            <w:pPr>
              <w:numPr>
                <w:ilvl w:val="0"/>
                <w:numId w:val="7"/>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Ar bus privaloma saugoti elektroninius apskaitos dokumentus, kai jie pateikti į informacinę sistemą „E. sąskaita“ arba, laikantis tam tikrų reikalavimų, į veiklos valdymo informacines sistemas.</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09D4455B"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4CAA2D61"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45E98640" w14:textId="77777777" w:rsidR="0067635C" w:rsidRPr="00F43530" w:rsidRDefault="0067635C" w:rsidP="0067635C">
            <w:pPr>
              <w:numPr>
                <w:ilvl w:val="0"/>
                <w:numId w:val="8"/>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Ar privaloma apskaitos politika?</w:t>
            </w:r>
          </w:p>
          <w:p w14:paraId="2AD031F9"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1019E671"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16C8E891"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79BC226" w14:textId="77777777" w:rsidR="0067635C" w:rsidRPr="00F43530" w:rsidRDefault="0067635C" w:rsidP="0067635C">
            <w:pPr>
              <w:numPr>
                <w:ilvl w:val="0"/>
                <w:numId w:val="9"/>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Ar privaloma vidaus kontrolė?</w:t>
            </w:r>
          </w:p>
          <w:p w14:paraId="6D73F276"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14297DB9"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4166131E"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48ECBA8" w14:textId="77777777" w:rsidR="0067635C" w:rsidRPr="00F43530" w:rsidRDefault="0067635C" w:rsidP="0067635C">
            <w:pPr>
              <w:numPr>
                <w:ilvl w:val="0"/>
                <w:numId w:val="10"/>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color w:val="1D2125"/>
                <w:sz w:val="23"/>
                <w:szCs w:val="23"/>
                <w:lang w:eastAsia="lt-LT"/>
              </w:rPr>
              <w:t>Kur</w:t>
            </w:r>
            <w:r w:rsidRPr="00F43530">
              <w:rPr>
                <w:rFonts w:ascii="Segoe UI" w:eastAsia="Times New Roman" w:hAnsi="Segoe UI" w:cs="Segoe UI"/>
                <w:color w:val="1D2125"/>
                <w:sz w:val="23"/>
                <w:szCs w:val="23"/>
                <w:lang w:eastAsia="lt-LT"/>
              </w:rPr>
              <w:t xml:space="preserve"> įmonės vadovas turės nustatyti taisykles dėl registrų bei dokumentų sudarymo bei pasirašymo terminų, dėl prieigų prie apskaitos sistemų bei registrų apsaugos priemonių taikymo (pavyzdžiui, slaptažodžiai, jų keitimas, prijungimai prie duomenų bazių ir pan.), taip pat inventorizacijos tvarkos bei dokumentų bei duomenų saugojimo tvarkos. Apskaitą tvarkantys asmenys pagal naują įstatymą savo ruožtu turi nusistatyti apskaitos </w:t>
            </w:r>
            <w:r w:rsidRPr="00F43530">
              <w:rPr>
                <w:rFonts w:ascii="Segoe UI" w:eastAsia="Times New Roman" w:hAnsi="Segoe UI" w:cs="Segoe UI"/>
                <w:color w:val="1D2125"/>
                <w:sz w:val="23"/>
                <w:szCs w:val="23"/>
                <w:lang w:eastAsia="lt-LT"/>
              </w:rPr>
              <w:lastRenderedPageBreak/>
              <w:t>paslaugų teikimo organizavimo ir kontrolės tvarką ir jos laikytis.</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6527C2B9"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lastRenderedPageBreak/>
              <w:t> </w:t>
            </w:r>
          </w:p>
        </w:tc>
      </w:tr>
      <w:tr w:rsidR="0067635C" w:rsidRPr="00F43530" w14:paraId="33663D42"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03F82C8F" w14:textId="77777777" w:rsidR="0067635C" w:rsidRPr="00F43530" w:rsidRDefault="0067635C" w:rsidP="0067635C">
            <w:pPr>
              <w:numPr>
                <w:ilvl w:val="0"/>
                <w:numId w:val="11"/>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lastRenderedPageBreak/>
              <w:t>Ar yra reikalavimas privačiajame sektoriuje laikytis privalomos inventorizacijos?</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62D22870"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4B12387C"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7448EE61" w14:textId="77777777" w:rsidR="0067635C" w:rsidRPr="00F43530" w:rsidRDefault="0067635C" w:rsidP="0067635C">
            <w:pPr>
              <w:numPr>
                <w:ilvl w:val="0"/>
                <w:numId w:val="12"/>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Kada išlieka pareiga atlikti inventorizaciją?</w:t>
            </w:r>
          </w:p>
          <w:p w14:paraId="2CEE048A" w14:textId="77777777" w:rsidR="0067635C" w:rsidRPr="00F43530" w:rsidRDefault="0067635C" w:rsidP="0067635C">
            <w:pPr>
              <w:spacing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p w14:paraId="4230DB01"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674E8A08"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2A3B17B1"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150DD640" w14:textId="77777777" w:rsidR="0067635C" w:rsidRPr="00F43530" w:rsidRDefault="0067635C" w:rsidP="0067635C">
            <w:pPr>
              <w:numPr>
                <w:ilvl w:val="0"/>
                <w:numId w:val="13"/>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Pagal kokią tvarką reikia atlikti inventorizaciją?</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4EE109A0"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44595CFA"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808AF9A" w14:textId="77777777" w:rsidR="0067635C" w:rsidRPr="00F43530" w:rsidRDefault="0067635C" w:rsidP="0067635C">
            <w:pPr>
              <w:numPr>
                <w:ilvl w:val="0"/>
                <w:numId w:val="14"/>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Kada subjektas neprivalo saugoti elektroninių apskaitos dokumentų?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404579AB"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6FD365BD"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3350C414" w14:textId="77777777" w:rsidR="0067635C" w:rsidRPr="00F43530" w:rsidRDefault="0067635C" w:rsidP="0067635C">
            <w:pPr>
              <w:numPr>
                <w:ilvl w:val="0"/>
                <w:numId w:val="15"/>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b/>
                <w:bCs/>
                <w:color w:val="1D2125"/>
                <w:sz w:val="23"/>
                <w:szCs w:val="23"/>
                <w:lang w:eastAsia="lt-LT"/>
              </w:rPr>
              <w:t>Kokia informacija</w:t>
            </w:r>
            <w:r w:rsidRPr="00F43530">
              <w:rPr>
                <w:rFonts w:ascii="Segoe UI" w:eastAsia="Times New Roman" w:hAnsi="Segoe UI" w:cs="Segoe UI"/>
                <w:color w:val="1D2125"/>
                <w:sz w:val="23"/>
                <w:szCs w:val="23"/>
                <w:lang w:eastAsia="lt-LT"/>
              </w:rPr>
              <w:t> turi būti pateikiama didelių verslo subjektų metiniame pranešime?</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3C7F0443"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7F187DEE"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1BF2F6FA" w14:textId="77777777" w:rsidR="0067635C" w:rsidRPr="00F43530" w:rsidRDefault="0067635C" w:rsidP="0067635C">
            <w:pPr>
              <w:numPr>
                <w:ilvl w:val="0"/>
                <w:numId w:val="16"/>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Ką turi būtinai sudaryti kiekvienas ūkio subjektas (išskyrus supaprastintą apskaitą pasirinkusius ūkio subjektus)?</w:t>
            </w:r>
          </w:p>
          <w:p w14:paraId="52F99D46"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4D137912"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031D42EB"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69A3FDDB" w14:textId="77777777" w:rsidR="0067635C" w:rsidRPr="00F43530" w:rsidRDefault="0067635C" w:rsidP="0067635C">
            <w:pPr>
              <w:numPr>
                <w:ilvl w:val="0"/>
                <w:numId w:val="17"/>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Ką turi būtinai sudaryti ūkio subjektas, atliekantis grynųjų pinigų operacijas?</w:t>
            </w:r>
          </w:p>
          <w:p w14:paraId="534EB810"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0DF8212C"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r w:rsidR="0067635C" w:rsidRPr="00F43530" w14:paraId="47C4579B" w14:textId="77777777" w:rsidTr="0067635C">
        <w:tc>
          <w:tcPr>
            <w:tcW w:w="5304" w:type="dxa"/>
            <w:tcBorders>
              <w:top w:val="outset" w:sz="6" w:space="0" w:color="auto"/>
              <w:left w:val="outset" w:sz="6" w:space="0" w:color="auto"/>
              <w:bottom w:val="outset" w:sz="6" w:space="0" w:color="auto"/>
              <w:right w:val="outset" w:sz="6" w:space="0" w:color="auto"/>
            </w:tcBorders>
            <w:shd w:val="clear" w:color="auto" w:fill="F8F9FA"/>
            <w:hideMark/>
          </w:tcPr>
          <w:p w14:paraId="149CF21D" w14:textId="77777777" w:rsidR="0067635C" w:rsidRPr="00F43530" w:rsidRDefault="0067635C" w:rsidP="0067635C">
            <w:pPr>
              <w:spacing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p w14:paraId="6400F39D" w14:textId="77777777" w:rsidR="0067635C" w:rsidRPr="00F43530" w:rsidRDefault="0067635C" w:rsidP="0067635C">
            <w:pPr>
              <w:numPr>
                <w:ilvl w:val="0"/>
                <w:numId w:val="18"/>
              </w:numPr>
              <w:spacing w:before="100" w:beforeAutospacing="1"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Kokią informaciją privaloma pateikti apskaitos registre, siekiant užtikrinti duomenų atsekamumą?</w:t>
            </w:r>
          </w:p>
          <w:p w14:paraId="138EBDE8"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c>
          <w:tcPr>
            <w:tcW w:w="2352" w:type="dxa"/>
            <w:tcBorders>
              <w:top w:val="outset" w:sz="6" w:space="0" w:color="auto"/>
              <w:left w:val="outset" w:sz="6" w:space="0" w:color="auto"/>
              <w:bottom w:val="outset" w:sz="6" w:space="0" w:color="auto"/>
              <w:right w:val="outset" w:sz="6" w:space="0" w:color="auto"/>
            </w:tcBorders>
            <w:shd w:val="clear" w:color="auto" w:fill="F8F9FA"/>
            <w:hideMark/>
          </w:tcPr>
          <w:p w14:paraId="66182806" w14:textId="77777777" w:rsidR="0067635C" w:rsidRPr="00F43530" w:rsidRDefault="0067635C" w:rsidP="0067635C">
            <w:pPr>
              <w:spacing w:after="0"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tc>
      </w:tr>
    </w:tbl>
    <w:p w14:paraId="52619E96" w14:textId="77777777" w:rsidR="0067635C" w:rsidRPr="00F43530" w:rsidRDefault="0067635C" w:rsidP="0067635C">
      <w:pPr>
        <w:shd w:val="clear" w:color="auto" w:fill="F8F9FA"/>
        <w:spacing w:after="100" w:afterAutospacing="1" w:line="240" w:lineRule="auto"/>
        <w:rPr>
          <w:rFonts w:ascii="Segoe UI" w:eastAsia="Times New Roman" w:hAnsi="Segoe UI" w:cs="Segoe UI"/>
          <w:color w:val="1D2125"/>
          <w:sz w:val="23"/>
          <w:szCs w:val="23"/>
          <w:lang w:eastAsia="lt-LT"/>
        </w:rPr>
      </w:pPr>
      <w:r w:rsidRPr="00F43530">
        <w:rPr>
          <w:rFonts w:ascii="Segoe UI" w:eastAsia="Times New Roman" w:hAnsi="Segoe UI" w:cs="Segoe UI"/>
          <w:color w:val="1D2125"/>
          <w:sz w:val="23"/>
          <w:szCs w:val="23"/>
          <w:lang w:eastAsia="lt-LT"/>
        </w:rPr>
        <w:t> </w:t>
      </w:r>
    </w:p>
    <w:p w14:paraId="060DD310" w14:textId="77777777" w:rsidR="00F32BB2" w:rsidRPr="00F43530" w:rsidRDefault="00F32BB2"/>
    <w:sectPr w:rsidR="00F32BB2" w:rsidRPr="00F4353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F06"/>
    <w:multiLevelType w:val="multilevel"/>
    <w:tmpl w:val="166200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9596E"/>
    <w:multiLevelType w:val="multilevel"/>
    <w:tmpl w:val="42B8D8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267D1"/>
    <w:multiLevelType w:val="multilevel"/>
    <w:tmpl w:val="38265F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8554A"/>
    <w:multiLevelType w:val="multilevel"/>
    <w:tmpl w:val="7FDA47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931497"/>
    <w:multiLevelType w:val="multilevel"/>
    <w:tmpl w:val="5142DB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B0003"/>
    <w:multiLevelType w:val="multilevel"/>
    <w:tmpl w:val="5E185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F57F0"/>
    <w:multiLevelType w:val="multilevel"/>
    <w:tmpl w:val="92B0F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C026BB"/>
    <w:multiLevelType w:val="multilevel"/>
    <w:tmpl w:val="17DC97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CC483D"/>
    <w:multiLevelType w:val="multilevel"/>
    <w:tmpl w:val="45CE63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A55085"/>
    <w:multiLevelType w:val="multilevel"/>
    <w:tmpl w:val="839423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48122E"/>
    <w:multiLevelType w:val="multilevel"/>
    <w:tmpl w:val="3A68060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F53409"/>
    <w:multiLevelType w:val="multilevel"/>
    <w:tmpl w:val="1444BB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917525"/>
    <w:multiLevelType w:val="multilevel"/>
    <w:tmpl w:val="99CEEE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B27E62"/>
    <w:multiLevelType w:val="multilevel"/>
    <w:tmpl w:val="7C4294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EC1260"/>
    <w:multiLevelType w:val="multilevel"/>
    <w:tmpl w:val="4EE0445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C55021"/>
    <w:multiLevelType w:val="multilevel"/>
    <w:tmpl w:val="87949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5E60C0"/>
    <w:multiLevelType w:val="multilevel"/>
    <w:tmpl w:val="BC44F9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6E393F"/>
    <w:multiLevelType w:val="multilevel"/>
    <w:tmpl w:val="A8486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2"/>
  </w:num>
  <w:num w:numId="4">
    <w:abstractNumId w:val="6"/>
  </w:num>
  <w:num w:numId="5">
    <w:abstractNumId w:val="1"/>
  </w:num>
  <w:num w:numId="6">
    <w:abstractNumId w:val="8"/>
  </w:num>
  <w:num w:numId="7">
    <w:abstractNumId w:val="12"/>
  </w:num>
  <w:num w:numId="8">
    <w:abstractNumId w:val="17"/>
  </w:num>
  <w:num w:numId="9">
    <w:abstractNumId w:val="9"/>
  </w:num>
  <w:num w:numId="10">
    <w:abstractNumId w:val="13"/>
  </w:num>
  <w:num w:numId="11">
    <w:abstractNumId w:val="4"/>
  </w:num>
  <w:num w:numId="12">
    <w:abstractNumId w:val="3"/>
  </w:num>
  <w:num w:numId="13">
    <w:abstractNumId w:val="7"/>
  </w:num>
  <w:num w:numId="14">
    <w:abstractNumId w:val="11"/>
  </w:num>
  <w:num w:numId="15">
    <w:abstractNumId w:val="14"/>
  </w:num>
  <w:num w:numId="16">
    <w:abstractNumId w:val="0"/>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6F"/>
    <w:rsid w:val="00034FA4"/>
    <w:rsid w:val="0009596F"/>
    <w:rsid w:val="0067635C"/>
    <w:rsid w:val="00923A17"/>
    <w:rsid w:val="00A15DB8"/>
    <w:rsid w:val="00F32BB2"/>
    <w:rsid w:val="00F43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40DD"/>
  <w15:chartTrackingRefBased/>
  <w15:docId w15:val="{970465ED-0076-4C90-8289-01D613C7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530"/>
    <w:rPr>
      <w:color w:val="0563C1" w:themeColor="hyperlink"/>
      <w:u w:val="single"/>
    </w:rPr>
  </w:style>
  <w:style w:type="character" w:customStyle="1" w:styleId="UnresolvedMention">
    <w:name w:val="Unresolved Mention"/>
    <w:basedOn w:val="DefaultParagraphFont"/>
    <w:uiPriority w:val="99"/>
    <w:semiHidden/>
    <w:unhideWhenUsed/>
    <w:rsid w:val="00F4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mc.vpma.lt/mod/assign/view.php?id=80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dbe23950488011e89197e1115e5dbece" TargetMode="External"/><Relationship Id="rId5" Type="http://schemas.openxmlformats.org/officeDocument/2006/relationships/hyperlink" Target="https://e-seimas.lrs.lt/portal/legalAct/lt/TAD/TAIS.154657/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2250</Words>
  <Characters>1283</Characters>
  <Application>Microsoft Office Word</Application>
  <DocSecurity>0</DocSecurity>
  <Lines>10</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mokinys</dc:creator>
  <cp:keywords/>
  <dc:description/>
  <cp:lastModifiedBy>Evelina</cp:lastModifiedBy>
  <cp:revision>6</cp:revision>
  <dcterms:created xsi:type="dcterms:W3CDTF">2025-04-06T12:19:00Z</dcterms:created>
  <dcterms:modified xsi:type="dcterms:W3CDTF">2025-04-08T09:00:00Z</dcterms:modified>
</cp:coreProperties>
</file>